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9E69E" w14:textId="77777777" w:rsidR="00575238" w:rsidRDefault="00EE3EAA">
      <w:pPr>
        <w:pStyle w:val="Heading1"/>
        <w:spacing w:before="78" w:line="240" w:lineRule="auto"/>
        <w:ind w:firstLine="0"/>
        <w:jc w:val="center"/>
      </w:pPr>
      <w:r>
        <w:rPr>
          <w:color w:val="231F20"/>
        </w:rPr>
        <w:t>PROPOSED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REVISIONS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EDNC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(1.22.24)</w:t>
      </w:r>
    </w:p>
    <w:p w14:paraId="25F11E4E" w14:textId="77777777" w:rsidR="00575238" w:rsidRDefault="00575238">
      <w:pPr>
        <w:pStyle w:val="BodyText"/>
        <w:spacing w:before="1"/>
        <w:ind w:left="0"/>
        <w:rPr>
          <w:b/>
        </w:rPr>
      </w:pPr>
    </w:p>
    <w:p w14:paraId="2E24672F" w14:textId="77777777" w:rsidR="00575238" w:rsidRDefault="00EE3EAA">
      <w:pPr>
        <w:pStyle w:val="ListParagraph"/>
        <w:numPr>
          <w:ilvl w:val="1"/>
          <w:numId w:val="1"/>
        </w:numPr>
        <w:tabs>
          <w:tab w:val="left" w:pos="732"/>
        </w:tabs>
        <w:ind w:hanging="624"/>
        <w:jc w:val="both"/>
        <w:rPr>
          <w:b/>
          <w:color w:val="231F20"/>
        </w:rPr>
      </w:pPr>
      <w:r>
        <w:rPr>
          <w:b/>
          <w:color w:val="231F20"/>
        </w:rPr>
        <w:t>Applicable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Commitment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Period</w:t>
      </w:r>
      <w:r>
        <w:rPr>
          <w:b/>
          <w:color w:val="231F20"/>
          <w:spacing w:val="-8"/>
        </w:rPr>
        <w:t xml:space="preserve"> </w:t>
      </w:r>
      <w:r>
        <w:rPr>
          <w:b/>
          <w:color w:val="231F20"/>
        </w:rPr>
        <w:t>&amp;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Projected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Disposable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  <w:spacing w:val="-2"/>
        </w:rPr>
        <w:t>Income.</w:t>
      </w:r>
    </w:p>
    <w:p w14:paraId="45974F8A" w14:textId="77777777" w:rsidR="00575238" w:rsidRDefault="00EE3EAA">
      <w:pPr>
        <w:pStyle w:val="BodyText"/>
        <w:tabs>
          <w:tab w:val="left" w:pos="6637"/>
        </w:tabs>
        <w:ind w:left="732" w:right="354"/>
        <w:jc w:val="both"/>
      </w:pPr>
      <w:r>
        <w:rPr>
          <w:color w:val="231F20"/>
        </w:rPr>
        <w:t xml:space="preserve">The Applicable Commitment Period of the Debtor(s) is </w:t>
      </w:r>
      <w:r>
        <w:rPr>
          <w:color w:val="231F20"/>
          <w:u w:val="single" w:color="221E1F"/>
        </w:rPr>
        <w:tab/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months,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projected disposable income of the Debtor(s), as referred to in 11 U.S.C. § 1325(b)(1)(B), </w:t>
      </w:r>
      <w:proofErr w:type="gramStart"/>
      <w:r>
        <w:rPr>
          <w:color w:val="231F20"/>
        </w:rPr>
        <w:t>is</w:t>
      </w:r>
      <w:proofErr w:type="gramEnd"/>
    </w:p>
    <w:p w14:paraId="58D33653" w14:textId="77777777" w:rsidR="00575238" w:rsidRDefault="00EE3EAA">
      <w:pPr>
        <w:pStyle w:val="BodyText"/>
        <w:tabs>
          <w:tab w:val="left" w:pos="3263"/>
        </w:tabs>
        <w:ind w:left="732" w:right="306"/>
        <w:jc w:val="both"/>
      </w:pPr>
      <w:r>
        <w:rPr>
          <w:color w:val="231F20"/>
          <w:spacing w:val="-10"/>
        </w:rPr>
        <w:t>$</w:t>
      </w:r>
      <w:r>
        <w:rPr>
          <w:color w:val="231F20"/>
          <w:u w:val="single" w:color="221E1F"/>
        </w:rPr>
        <w:tab/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month.</w:t>
      </w:r>
      <w:r>
        <w:rPr>
          <w:color w:val="231F20"/>
          <w:spacing w:val="40"/>
        </w:rPr>
        <w:t xml:space="preserve"> </w:t>
      </w:r>
      <w:r>
        <w:rPr>
          <w:strike/>
          <w:color w:val="ED2024"/>
        </w:rPr>
        <w:t>The</w:t>
      </w:r>
      <w:r>
        <w:rPr>
          <w:strike/>
          <w:color w:val="ED2024"/>
          <w:spacing w:val="-4"/>
        </w:rPr>
        <w:t xml:space="preserve"> </w:t>
      </w:r>
      <w:r>
        <w:rPr>
          <w:strike/>
          <w:color w:val="ED2024"/>
        </w:rPr>
        <w:t>chapter</w:t>
      </w:r>
      <w:r>
        <w:rPr>
          <w:strike/>
          <w:color w:val="ED2024"/>
          <w:spacing w:val="-2"/>
        </w:rPr>
        <w:t xml:space="preserve"> </w:t>
      </w:r>
      <w:r>
        <w:rPr>
          <w:strike/>
          <w:color w:val="ED2024"/>
        </w:rPr>
        <w:t>7</w:t>
      </w:r>
      <w:r>
        <w:rPr>
          <w:strike/>
          <w:color w:val="ED2024"/>
          <w:spacing w:val="-5"/>
        </w:rPr>
        <w:t xml:space="preserve"> </w:t>
      </w:r>
      <w:r>
        <w:rPr>
          <w:strike/>
          <w:color w:val="ED2024"/>
        </w:rPr>
        <w:t>“liquidation</w:t>
      </w:r>
      <w:r>
        <w:rPr>
          <w:strike/>
          <w:color w:val="ED2024"/>
          <w:spacing w:val="-2"/>
        </w:rPr>
        <w:t xml:space="preserve"> </w:t>
      </w:r>
      <w:r>
        <w:rPr>
          <w:strike/>
          <w:color w:val="ED2024"/>
        </w:rPr>
        <w:t>value”</w:t>
      </w:r>
      <w:r>
        <w:rPr>
          <w:strike/>
          <w:color w:val="ED2024"/>
          <w:spacing w:val="-2"/>
        </w:rPr>
        <w:t xml:space="preserve"> </w:t>
      </w:r>
      <w:r>
        <w:rPr>
          <w:strike/>
          <w:color w:val="ED2024"/>
        </w:rPr>
        <w:t>of</w:t>
      </w:r>
      <w:r>
        <w:rPr>
          <w:strike/>
          <w:color w:val="ED2024"/>
          <w:spacing w:val="-1"/>
        </w:rPr>
        <w:t xml:space="preserve"> </w:t>
      </w:r>
      <w:r>
        <w:rPr>
          <w:strike/>
          <w:color w:val="ED2024"/>
        </w:rPr>
        <w:t>the</w:t>
      </w:r>
      <w:r>
        <w:rPr>
          <w:strike/>
          <w:color w:val="ED2024"/>
          <w:spacing w:val="-2"/>
        </w:rPr>
        <w:t xml:space="preserve"> </w:t>
      </w:r>
      <w:r>
        <w:rPr>
          <w:strike/>
          <w:color w:val="ED2024"/>
        </w:rPr>
        <w:t>estate</w:t>
      </w:r>
      <w:r>
        <w:rPr>
          <w:strike/>
          <w:color w:val="ED2024"/>
          <w:spacing w:val="-2"/>
        </w:rPr>
        <w:t xml:space="preserve"> </w:t>
      </w:r>
      <w:r>
        <w:rPr>
          <w:strike/>
          <w:color w:val="ED2024"/>
        </w:rPr>
        <w:t>of</w:t>
      </w:r>
      <w:r>
        <w:rPr>
          <w:strike/>
          <w:color w:val="ED2024"/>
          <w:spacing w:val="-1"/>
        </w:rPr>
        <w:t xml:space="preserve"> </w:t>
      </w:r>
      <w:r>
        <w:rPr>
          <w:strike/>
          <w:color w:val="ED2024"/>
        </w:rPr>
        <w:t>the</w:t>
      </w:r>
      <w:r>
        <w:rPr>
          <w:color w:val="ED2024"/>
        </w:rPr>
        <w:t xml:space="preserve"> </w:t>
      </w:r>
      <w:r>
        <w:rPr>
          <w:strike/>
          <w:color w:val="ED2024"/>
        </w:rPr>
        <w:t>Debtor(s),</w:t>
      </w:r>
      <w:r>
        <w:rPr>
          <w:strike/>
          <w:color w:val="ED2024"/>
          <w:spacing w:val="-2"/>
        </w:rPr>
        <w:t xml:space="preserve"> </w:t>
      </w:r>
      <w:r>
        <w:rPr>
          <w:strike/>
          <w:color w:val="ED2024"/>
        </w:rPr>
        <w:t>as</w:t>
      </w:r>
      <w:r>
        <w:rPr>
          <w:strike/>
          <w:color w:val="ED2024"/>
          <w:spacing w:val="-2"/>
        </w:rPr>
        <w:t xml:space="preserve"> </w:t>
      </w:r>
      <w:r>
        <w:rPr>
          <w:strike/>
          <w:color w:val="ED2024"/>
        </w:rPr>
        <w:t>referenced</w:t>
      </w:r>
      <w:r>
        <w:rPr>
          <w:strike/>
          <w:color w:val="ED2024"/>
          <w:spacing w:val="-2"/>
        </w:rPr>
        <w:t xml:space="preserve"> </w:t>
      </w:r>
      <w:r>
        <w:rPr>
          <w:strike/>
          <w:color w:val="ED2024"/>
        </w:rPr>
        <w:t>in</w:t>
      </w:r>
      <w:r>
        <w:rPr>
          <w:strike/>
          <w:color w:val="ED2024"/>
          <w:spacing w:val="-5"/>
        </w:rPr>
        <w:t xml:space="preserve"> </w:t>
      </w:r>
      <w:r>
        <w:rPr>
          <w:strike/>
          <w:color w:val="ED2024"/>
        </w:rPr>
        <w:t>11</w:t>
      </w:r>
      <w:r>
        <w:rPr>
          <w:strike/>
          <w:color w:val="ED2024"/>
          <w:spacing w:val="-2"/>
        </w:rPr>
        <w:t xml:space="preserve"> </w:t>
      </w:r>
      <w:r>
        <w:rPr>
          <w:strike/>
          <w:color w:val="ED2024"/>
        </w:rPr>
        <w:t>U.S.C.</w:t>
      </w:r>
      <w:r>
        <w:rPr>
          <w:strike/>
          <w:color w:val="ED2024"/>
          <w:spacing w:val="-2"/>
        </w:rPr>
        <w:t xml:space="preserve"> </w:t>
      </w:r>
      <w:r>
        <w:rPr>
          <w:strike/>
          <w:color w:val="ED2024"/>
        </w:rPr>
        <w:t>§</w:t>
      </w:r>
      <w:r>
        <w:rPr>
          <w:strike/>
          <w:color w:val="ED2024"/>
          <w:spacing w:val="-2"/>
        </w:rPr>
        <w:t xml:space="preserve"> </w:t>
      </w:r>
      <w:r>
        <w:rPr>
          <w:strike/>
          <w:color w:val="ED2024"/>
        </w:rPr>
        <w:t>1325(a)(4),</w:t>
      </w:r>
      <w:r>
        <w:rPr>
          <w:strike/>
          <w:color w:val="ED2024"/>
          <w:spacing w:val="-2"/>
        </w:rPr>
        <w:t xml:space="preserve"> </w:t>
      </w:r>
      <w:r>
        <w:rPr>
          <w:strike/>
          <w:color w:val="ED2024"/>
        </w:rPr>
        <w:t>refers</w:t>
      </w:r>
      <w:r>
        <w:rPr>
          <w:strike/>
          <w:color w:val="ED2024"/>
          <w:spacing w:val="-4"/>
        </w:rPr>
        <w:t xml:space="preserve"> </w:t>
      </w:r>
      <w:r>
        <w:rPr>
          <w:strike/>
          <w:color w:val="ED2024"/>
        </w:rPr>
        <w:t>to</w:t>
      </w:r>
      <w:r>
        <w:rPr>
          <w:strike/>
          <w:color w:val="ED2024"/>
          <w:spacing w:val="-2"/>
        </w:rPr>
        <w:t xml:space="preserve"> </w:t>
      </w:r>
      <w:r>
        <w:rPr>
          <w:strike/>
          <w:color w:val="ED2024"/>
        </w:rPr>
        <w:t>the</w:t>
      </w:r>
      <w:r>
        <w:rPr>
          <w:strike/>
          <w:color w:val="ED2024"/>
          <w:spacing w:val="-2"/>
        </w:rPr>
        <w:t xml:space="preserve"> </w:t>
      </w:r>
      <w:r>
        <w:rPr>
          <w:strike/>
          <w:color w:val="ED2024"/>
        </w:rPr>
        <w:t>amount</w:t>
      </w:r>
      <w:r>
        <w:rPr>
          <w:strike/>
          <w:color w:val="ED2024"/>
          <w:spacing w:val="-4"/>
        </w:rPr>
        <w:t xml:space="preserve"> </w:t>
      </w:r>
      <w:r>
        <w:rPr>
          <w:strike/>
          <w:color w:val="ED2024"/>
        </w:rPr>
        <w:t>that</w:t>
      </w:r>
      <w:r>
        <w:rPr>
          <w:strike/>
          <w:color w:val="ED2024"/>
          <w:spacing w:val="-1"/>
        </w:rPr>
        <w:t xml:space="preserve"> </w:t>
      </w:r>
      <w:r>
        <w:rPr>
          <w:strike/>
          <w:color w:val="ED2024"/>
        </w:rPr>
        <w:t>is</w:t>
      </w:r>
      <w:r>
        <w:rPr>
          <w:strike/>
          <w:color w:val="ED2024"/>
          <w:spacing w:val="-2"/>
        </w:rPr>
        <w:t xml:space="preserve"> </w:t>
      </w:r>
      <w:r>
        <w:rPr>
          <w:strike/>
          <w:color w:val="ED2024"/>
        </w:rPr>
        <w:t>estimated</w:t>
      </w:r>
      <w:r>
        <w:rPr>
          <w:strike/>
          <w:color w:val="ED2024"/>
          <w:spacing w:val="-2"/>
        </w:rPr>
        <w:t xml:space="preserve"> </w:t>
      </w:r>
      <w:r>
        <w:rPr>
          <w:strike/>
          <w:color w:val="ED2024"/>
        </w:rPr>
        <w:t>to</w:t>
      </w:r>
      <w:r>
        <w:rPr>
          <w:strike/>
          <w:color w:val="ED2024"/>
          <w:spacing w:val="-4"/>
        </w:rPr>
        <w:t xml:space="preserve"> </w:t>
      </w:r>
      <w:r>
        <w:rPr>
          <w:strike/>
          <w:color w:val="ED2024"/>
        </w:rPr>
        <w:t>be</w:t>
      </w:r>
      <w:r>
        <w:rPr>
          <w:color w:val="ED2024"/>
        </w:rPr>
        <w:t xml:space="preserve"> </w:t>
      </w:r>
      <w:r>
        <w:rPr>
          <w:strike/>
          <w:color w:val="ED2024"/>
        </w:rPr>
        <w:t xml:space="preserve">paid to holders of non-priority unsecured claims. In this case, this amount is </w:t>
      </w:r>
      <w:proofErr w:type="gramStart"/>
      <w:r>
        <w:rPr>
          <w:strike/>
          <w:color w:val="ED2024"/>
        </w:rPr>
        <w:t>$ .</w:t>
      </w:r>
      <w:proofErr w:type="gramEnd"/>
    </w:p>
    <w:p w14:paraId="39D7FC26" w14:textId="77777777" w:rsidR="00575238" w:rsidRDefault="00575238">
      <w:pPr>
        <w:pStyle w:val="BodyText"/>
        <w:spacing w:before="252"/>
        <w:ind w:left="0"/>
      </w:pPr>
    </w:p>
    <w:p w14:paraId="2DF10A28" w14:textId="77777777" w:rsidR="00575238" w:rsidRDefault="00EE3EAA">
      <w:pPr>
        <w:pStyle w:val="Heading1"/>
        <w:numPr>
          <w:ilvl w:val="1"/>
          <w:numId w:val="1"/>
        </w:numPr>
        <w:tabs>
          <w:tab w:val="left" w:pos="688"/>
        </w:tabs>
        <w:spacing w:before="1"/>
        <w:ind w:left="688" w:hanging="581"/>
        <w:rPr>
          <w:color w:val="1770B8"/>
        </w:rPr>
      </w:pPr>
      <w:r>
        <w:rPr>
          <w:color w:val="1770B8"/>
        </w:rPr>
        <w:t>The</w:t>
      </w:r>
      <w:r>
        <w:rPr>
          <w:color w:val="1770B8"/>
          <w:spacing w:val="-7"/>
        </w:rPr>
        <w:t xml:space="preserve"> </w:t>
      </w:r>
      <w:r>
        <w:rPr>
          <w:color w:val="1770B8"/>
        </w:rPr>
        <w:t>“Liquidation</w:t>
      </w:r>
      <w:r>
        <w:rPr>
          <w:color w:val="1770B8"/>
          <w:spacing w:val="-11"/>
        </w:rPr>
        <w:t xml:space="preserve"> </w:t>
      </w:r>
      <w:r>
        <w:rPr>
          <w:color w:val="1770B8"/>
          <w:spacing w:val="-2"/>
        </w:rPr>
        <w:t>Test.”</w:t>
      </w:r>
    </w:p>
    <w:p w14:paraId="131F7DE5" w14:textId="77777777" w:rsidR="00575238" w:rsidRDefault="00EE3EAA">
      <w:pPr>
        <w:pStyle w:val="ListParagraph"/>
        <w:numPr>
          <w:ilvl w:val="2"/>
          <w:numId w:val="1"/>
        </w:numPr>
        <w:tabs>
          <w:tab w:val="left" w:pos="1247"/>
        </w:tabs>
      </w:pPr>
      <w:r>
        <w:rPr>
          <w:color w:val="1770B8"/>
        </w:rPr>
        <w:t>The</w:t>
      </w:r>
      <w:r>
        <w:rPr>
          <w:color w:val="1770B8"/>
          <w:spacing w:val="-6"/>
        </w:rPr>
        <w:t xml:space="preserve"> </w:t>
      </w:r>
      <w:r>
        <w:rPr>
          <w:color w:val="1770B8"/>
        </w:rPr>
        <w:t>chapter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7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“liquidation</w:t>
      </w:r>
      <w:r>
        <w:rPr>
          <w:color w:val="1770B8"/>
          <w:spacing w:val="-5"/>
        </w:rPr>
        <w:t xml:space="preserve"> </w:t>
      </w:r>
      <w:r>
        <w:rPr>
          <w:color w:val="1770B8"/>
        </w:rPr>
        <w:t>value”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of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the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estate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of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the</w:t>
      </w:r>
      <w:r>
        <w:rPr>
          <w:color w:val="1770B8"/>
          <w:spacing w:val="-6"/>
        </w:rPr>
        <w:t xml:space="preserve"> </w:t>
      </w:r>
      <w:r>
        <w:rPr>
          <w:color w:val="1770B8"/>
        </w:rPr>
        <w:t>Debtor(s),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as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referenced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in</w:t>
      </w:r>
      <w:r>
        <w:rPr>
          <w:color w:val="1770B8"/>
          <w:spacing w:val="-6"/>
        </w:rPr>
        <w:t xml:space="preserve"> </w:t>
      </w:r>
      <w:r>
        <w:rPr>
          <w:color w:val="1770B8"/>
        </w:rPr>
        <w:t>11</w:t>
      </w:r>
      <w:r>
        <w:rPr>
          <w:color w:val="1770B8"/>
          <w:spacing w:val="-3"/>
        </w:rPr>
        <w:t xml:space="preserve"> </w:t>
      </w:r>
      <w:r>
        <w:rPr>
          <w:color w:val="1770B8"/>
          <w:spacing w:val="-2"/>
        </w:rPr>
        <w:t>U.S.C.</w:t>
      </w:r>
    </w:p>
    <w:p w14:paraId="3A2D7A1B" w14:textId="77777777" w:rsidR="00575238" w:rsidRDefault="00EE3EAA">
      <w:pPr>
        <w:pStyle w:val="BodyText"/>
        <w:spacing w:before="1"/>
        <w:ind w:right="599"/>
      </w:pPr>
      <w:r>
        <w:rPr>
          <w:color w:val="1770B8"/>
        </w:rPr>
        <w:t>§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1325(a)(4),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refers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to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the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amount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that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is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estimated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to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be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paid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to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holders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of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allowed priority and non-priority unsecured claims.</w:t>
      </w:r>
      <w:r>
        <w:rPr>
          <w:color w:val="1770B8"/>
          <w:spacing w:val="40"/>
        </w:rPr>
        <w:t xml:space="preserve"> </w:t>
      </w:r>
      <w:r>
        <w:rPr>
          <w:color w:val="1770B8"/>
        </w:rPr>
        <w:t>In this case, that amount is:</w:t>
      </w:r>
    </w:p>
    <w:p w14:paraId="7DB23552" w14:textId="77777777" w:rsidR="00575238" w:rsidRDefault="00EE3EAA">
      <w:pPr>
        <w:pStyle w:val="ListParagraph"/>
        <w:numPr>
          <w:ilvl w:val="3"/>
          <w:numId w:val="1"/>
        </w:numPr>
        <w:tabs>
          <w:tab w:val="left" w:pos="1723"/>
        </w:tabs>
        <w:rPr>
          <w:i/>
        </w:rPr>
      </w:pPr>
      <w:r>
        <w:rPr>
          <w:b/>
          <w:color w:val="1770B8"/>
        </w:rPr>
        <w:t>None.</w:t>
      </w:r>
      <w:r>
        <w:rPr>
          <w:b/>
          <w:color w:val="1770B8"/>
          <w:spacing w:val="49"/>
        </w:rPr>
        <w:t xml:space="preserve"> </w:t>
      </w:r>
      <w:r>
        <w:rPr>
          <w:color w:val="1770B8"/>
        </w:rPr>
        <w:t>(</w:t>
      </w:r>
      <w:r>
        <w:rPr>
          <w:i/>
          <w:color w:val="1770B8"/>
        </w:rPr>
        <w:t>If</w:t>
      </w:r>
      <w:r>
        <w:rPr>
          <w:i/>
          <w:color w:val="1770B8"/>
          <w:spacing w:val="-2"/>
        </w:rPr>
        <w:t xml:space="preserve"> </w:t>
      </w:r>
      <w:r>
        <w:rPr>
          <w:i/>
          <w:color w:val="1770B8"/>
        </w:rPr>
        <w:t>“None”</w:t>
      </w:r>
      <w:r>
        <w:rPr>
          <w:i/>
          <w:color w:val="1770B8"/>
          <w:spacing w:val="-2"/>
        </w:rPr>
        <w:t xml:space="preserve"> </w:t>
      </w:r>
      <w:r>
        <w:rPr>
          <w:i/>
          <w:color w:val="1770B8"/>
        </w:rPr>
        <w:t>is</w:t>
      </w:r>
      <w:r>
        <w:rPr>
          <w:i/>
          <w:color w:val="1770B8"/>
          <w:spacing w:val="-3"/>
        </w:rPr>
        <w:t xml:space="preserve"> </w:t>
      </w:r>
      <w:r>
        <w:rPr>
          <w:i/>
          <w:color w:val="1770B8"/>
        </w:rPr>
        <w:t>checked,</w:t>
      </w:r>
      <w:r>
        <w:rPr>
          <w:i/>
          <w:color w:val="1770B8"/>
          <w:spacing w:val="-3"/>
        </w:rPr>
        <w:t xml:space="preserve"> </w:t>
      </w:r>
      <w:r>
        <w:rPr>
          <w:i/>
          <w:color w:val="1770B8"/>
        </w:rPr>
        <w:t>the</w:t>
      </w:r>
      <w:r>
        <w:rPr>
          <w:i/>
          <w:color w:val="1770B8"/>
          <w:spacing w:val="-2"/>
        </w:rPr>
        <w:t xml:space="preserve"> </w:t>
      </w:r>
      <w:r>
        <w:rPr>
          <w:i/>
          <w:color w:val="1770B8"/>
        </w:rPr>
        <w:t>rest</w:t>
      </w:r>
      <w:r>
        <w:rPr>
          <w:i/>
          <w:color w:val="1770B8"/>
          <w:spacing w:val="-2"/>
        </w:rPr>
        <w:t xml:space="preserve"> </w:t>
      </w:r>
      <w:r>
        <w:rPr>
          <w:i/>
          <w:color w:val="1770B8"/>
        </w:rPr>
        <w:t>of</w:t>
      </w:r>
      <w:r>
        <w:rPr>
          <w:i/>
          <w:color w:val="1770B8"/>
          <w:spacing w:val="-6"/>
        </w:rPr>
        <w:t xml:space="preserve"> </w:t>
      </w:r>
      <w:r>
        <w:rPr>
          <w:i/>
          <w:color w:val="1770B8"/>
        </w:rPr>
        <w:t>2.6</w:t>
      </w:r>
      <w:r>
        <w:rPr>
          <w:i/>
          <w:color w:val="1770B8"/>
          <w:spacing w:val="-2"/>
        </w:rPr>
        <w:t xml:space="preserve"> </w:t>
      </w:r>
      <w:r>
        <w:rPr>
          <w:i/>
          <w:color w:val="1770B8"/>
        </w:rPr>
        <w:t>need</w:t>
      </w:r>
      <w:r>
        <w:rPr>
          <w:i/>
          <w:color w:val="1770B8"/>
          <w:spacing w:val="-3"/>
        </w:rPr>
        <w:t xml:space="preserve"> </w:t>
      </w:r>
      <w:r>
        <w:rPr>
          <w:i/>
          <w:color w:val="1770B8"/>
        </w:rPr>
        <w:t>not</w:t>
      </w:r>
      <w:r>
        <w:rPr>
          <w:i/>
          <w:color w:val="1770B8"/>
          <w:spacing w:val="-5"/>
        </w:rPr>
        <w:t xml:space="preserve"> </w:t>
      </w:r>
      <w:r>
        <w:rPr>
          <w:i/>
          <w:color w:val="1770B8"/>
        </w:rPr>
        <w:t>be</w:t>
      </w:r>
      <w:r>
        <w:rPr>
          <w:i/>
          <w:color w:val="1770B8"/>
          <w:spacing w:val="-3"/>
        </w:rPr>
        <w:t xml:space="preserve"> </w:t>
      </w:r>
      <w:r>
        <w:rPr>
          <w:i/>
          <w:color w:val="1770B8"/>
        </w:rPr>
        <w:t>completed</w:t>
      </w:r>
      <w:r>
        <w:rPr>
          <w:i/>
          <w:color w:val="1770B8"/>
          <w:spacing w:val="-3"/>
        </w:rPr>
        <w:t xml:space="preserve"> </w:t>
      </w:r>
      <w:r>
        <w:rPr>
          <w:i/>
          <w:color w:val="1770B8"/>
        </w:rPr>
        <w:t>or</w:t>
      </w:r>
      <w:r>
        <w:rPr>
          <w:i/>
          <w:color w:val="1770B8"/>
          <w:spacing w:val="-2"/>
        </w:rPr>
        <w:t xml:space="preserve"> reproduced).</w:t>
      </w:r>
    </w:p>
    <w:p w14:paraId="38B490FD" w14:textId="77777777" w:rsidR="00575238" w:rsidRDefault="00EE3EAA">
      <w:pPr>
        <w:pStyle w:val="ListParagraph"/>
        <w:numPr>
          <w:ilvl w:val="3"/>
          <w:numId w:val="1"/>
        </w:numPr>
        <w:tabs>
          <w:tab w:val="left" w:pos="1723"/>
          <w:tab w:val="left" w:pos="4252"/>
        </w:tabs>
      </w:pPr>
      <w:r>
        <w:rPr>
          <w:color w:val="1770B8"/>
          <w:spacing w:val="-10"/>
        </w:rPr>
        <w:t>$</w:t>
      </w:r>
      <w:r>
        <w:rPr>
          <w:color w:val="1770B8"/>
          <w:u w:val="single" w:color="166FB7"/>
        </w:rPr>
        <w:tab/>
      </w:r>
      <w:r>
        <w:rPr>
          <w:color w:val="1770B8"/>
          <w:spacing w:val="-10"/>
        </w:rPr>
        <w:t>.</w:t>
      </w:r>
    </w:p>
    <w:p w14:paraId="022AF9AE" w14:textId="77777777" w:rsidR="00575238" w:rsidRDefault="00EE3EAA">
      <w:pPr>
        <w:pStyle w:val="ListParagraph"/>
        <w:numPr>
          <w:ilvl w:val="2"/>
          <w:numId w:val="1"/>
        </w:numPr>
        <w:tabs>
          <w:tab w:val="left" w:pos="1247"/>
        </w:tabs>
        <w:spacing w:before="2" w:line="240" w:lineRule="auto"/>
        <w:ind w:right="236"/>
        <w:rPr>
          <w:i/>
        </w:rPr>
      </w:pPr>
      <w:r>
        <w:rPr>
          <w:color w:val="1770B8"/>
        </w:rPr>
        <w:t>If the liquidation value of the estate of the Debtor(s) is greater than $0.00, holders of allowed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non-priority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unsecured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claims</w:t>
      </w:r>
      <w:r>
        <w:rPr>
          <w:color w:val="1770B8"/>
          <w:spacing w:val="-1"/>
        </w:rPr>
        <w:t xml:space="preserve"> </w:t>
      </w:r>
      <w:r>
        <w:rPr>
          <w:i/>
          <w:color w:val="1770B8"/>
        </w:rPr>
        <w:t>may</w:t>
      </w:r>
      <w:r>
        <w:rPr>
          <w:i/>
          <w:color w:val="1770B8"/>
          <w:spacing w:val="-3"/>
        </w:rPr>
        <w:t xml:space="preserve"> </w:t>
      </w:r>
      <w:r>
        <w:rPr>
          <w:color w:val="1770B8"/>
        </w:rPr>
        <w:t>receive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a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distribution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equal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to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the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 xml:space="preserve">liquidation value of the estate </w:t>
      </w:r>
      <w:r>
        <w:rPr>
          <w:i/>
          <w:color w:val="1770B8"/>
        </w:rPr>
        <w:t xml:space="preserve">minus </w:t>
      </w:r>
      <w:r>
        <w:rPr>
          <w:color w:val="1770B8"/>
        </w:rPr>
        <w:t>the amount of the allowed priority unsecured claims, including the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portion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of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the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fees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of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the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attorney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for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the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Debtor(s)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being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paid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through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the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Plan.</w:t>
      </w:r>
      <w:r>
        <w:rPr>
          <w:color w:val="1770B8"/>
          <w:spacing w:val="40"/>
        </w:rPr>
        <w:t xml:space="preserve"> </w:t>
      </w:r>
      <w:r>
        <w:rPr>
          <w:color w:val="1770B8"/>
        </w:rPr>
        <w:t>(</w:t>
      </w:r>
      <w:r>
        <w:rPr>
          <w:i/>
          <w:color w:val="1770B8"/>
        </w:rPr>
        <w:t>See</w:t>
      </w:r>
    </w:p>
    <w:p w14:paraId="45B92B6D" w14:textId="33B6926C" w:rsidR="00575238" w:rsidRDefault="00EE3EAA">
      <w:pPr>
        <w:tabs>
          <w:tab w:val="left" w:pos="6853"/>
        </w:tabs>
        <w:ind w:left="1247" w:right="599" w:hanging="1"/>
      </w:pPr>
      <w:r>
        <w:rPr>
          <w:i/>
          <w:color w:val="1770B8"/>
        </w:rPr>
        <w:t>§§</w:t>
      </w:r>
      <w:r>
        <w:rPr>
          <w:i/>
          <w:color w:val="1770B8"/>
          <w:spacing w:val="-1"/>
        </w:rPr>
        <w:t xml:space="preserve"> </w:t>
      </w:r>
      <w:r>
        <w:rPr>
          <w:i/>
          <w:color w:val="1770B8"/>
        </w:rPr>
        <w:t>4.2,</w:t>
      </w:r>
      <w:r>
        <w:rPr>
          <w:i/>
          <w:color w:val="1770B8"/>
          <w:spacing w:val="-1"/>
        </w:rPr>
        <w:t xml:space="preserve"> </w:t>
      </w:r>
      <w:r>
        <w:rPr>
          <w:i/>
          <w:color w:val="1770B8"/>
        </w:rPr>
        <w:t>4.4,</w:t>
      </w:r>
      <w:r>
        <w:rPr>
          <w:i/>
          <w:color w:val="1770B8"/>
          <w:spacing w:val="-4"/>
        </w:rPr>
        <w:t xml:space="preserve"> </w:t>
      </w:r>
      <w:r>
        <w:rPr>
          <w:i/>
          <w:color w:val="1770B8"/>
        </w:rPr>
        <w:t>and</w:t>
      </w:r>
      <w:r>
        <w:rPr>
          <w:i/>
          <w:color w:val="1770B8"/>
          <w:spacing w:val="-1"/>
        </w:rPr>
        <w:t xml:space="preserve"> </w:t>
      </w:r>
      <w:r>
        <w:rPr>
          <w:i/>
          <w:color w:val="1770B8"/>
        </w:rPr>
        <w:t>4.5</w:t>
      </w:r>
      <w:r>
        <w:rPr>
          <w:i/>
          <w:color w:val="1770B8"/>
          <w:spacing w:val="-1"/>
        </w:rPr>
        <w:t xml:space="preserve"> </w:t>
      </w:r>
      <w:r>
        <w:rPr>
          <w:i/>
          <w:color w:val="1770B8"/>
        </w:rPr>
        <w:t>of</w:t>
      </w:r>
      <w:r>
        <w:rPr>
          <w:i/>
          <w:color w:val="1770B8"/>
          <w:spacing w:val="-3"/>
        </w:rPr>
        <w:t xml:space="preserve"> </w:t>
      </w:r>
      <w:r>
        <w:rPr>
          <w:i/>
          <w:color w:val="1770B8"/>
        </w:rPr>
        <w:t>this</w:t>
      </w:r>
      <w:r>
        <w:rPr>
          <w:i/>
          <w:color w:val="1770B8"/>
          <w:spacing w:val="-4"/>
        </w:rPr>
        <w:t xml:space="preserve"> </w:t>
      </w:r>
      <w:r>
        <w:rPr>
          <w:i/>
          <w:color w:val="1770B8"/>
        </w:rPr>
        <w:t>Plan).</w:t>
      </w:r>
      <w:r>
        <w:rPr>
          <w:i/>
          <w:color w:val="1770B8"/>
          <w:spacing w:val="40"/>
        </w:rPr>
        <w:t xml:space="preserve"> </w:t>
      </w:r>
      <w:r>
        <w:rPr>
          <w:color w:val="1770B8"/>
        </w:rPr>
        <w:t>The</w:t>
      </w:r>
      <w:r>
        <w:rPr>
          <w:color w:val="1770B8"/>
          <w:spacing w:val="-1"/>
        </w:rPr>
        <w:t xml:space="preserve"> </w:t>
      </w:r>
      <w:r>
        <w:rPr>
          <w:i/>
          <w:color w:val="1770B8"/>
        </w:rPr>
        <w:t>estimated</w:t>
      </w:r>
      <w:r>
        <w:rPr>
          <w:i/>
          <w:color w:val="1770B8"/>
          <w:spacing w:val="-3"/>
        </w:rPr>
        <w:t xml:space="preserve"> </w:t>
      </w:r>
      <w:r>
        <w:rPr>
          <w:color w:val="1770B8"/>
        </w:rPr>
        <w:t>amount</w:t>
      </w:r>
      <w:r>
        <w:rPr>
          <w:color w:val="1770B8"/>
          <w:spacing w:val="-1"/>
        </w:rPr>
        <w:t xml:space="preserve"> </w:t>
      </w:r>
      <w:r>
        <w:rPr>
          <w:color w:val="1770B8"/>
        </w:rPr>
        <w:t>to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be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received</w:t>
      </w:r>
      <w:r>
        <w:rPr>
          <w:color w:val="1770B8"/>
          <w:spacing w:val="-1"/>
        </w:rPr>
        <w:t xml:space="preserve"> </w:t>
      </w:r>
      <w:r>
        <w:rPr>
          <w:color w:val="1770B8"/>
        </w:rPr>
        <w:t>by</w:t>
      </w:r>
      <w:r>
        <w:rPr>
          <w:color w:val="1770B8"/>
          <w:spacing w:val="-1"/>
        </w:rPr>
        <w:t xml:space="preserve"> </w:t>
      </w:r>
      <w:r>
        <w:rPr>
          <w:color w:val="1770B8"/>
        </w:rPr>
        <w:t>holders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 xml:space="preserve">of allowed non-priority claims in this case is the </w:t>
      </w:r>
      <w:r w:rsidRPr="00EE3EAA">
        <w:rPr>
          <w:b/>
          <w:bCs/>
          <w:color w:val="1770B8"/>
        </w:rPr>
        <w:t>pro rata</w:t>
      </w:r>
      <w:r>
        <w:rPr>
          <w:color w:val="1770B8"/>
        </w:rPr>
        <w:t xml:space="preserve"> share of $</w:t>
      </w:r>
      <w:r>
        <w:rPr>
          <w:color w:val="1770B8"/>
          <w:u w:val="single" w:color="166FB7"/>
        </w:rPr>
        <w:tab/>
      </w:r>
      <w:r>
        <w:rPr>
          <w:color w:val="1770B8"/>
          <w:spacing w:val="-10"/>
        </w:rPr>
        <w:t>.</w:t>
      </w:r>
    </w:p>
    <w:p w14:paraId="6BC3DCAC" w14:textId="77777777" w:rsidR="00575238" w:rsidRDefault="00EE3EAA">
      <w:pPr>
        <w:pStyle w:val="ListParagraph"/>
        <w:numPr>
          <w:ilvl w:val="2"/>
          <w:numId w:val="1"/>
        </w:numPr>
        <w:tabs>
          <w:tab w:val="left" w:pos="1247"/>
        </w:tabs>
        <w:spacing w:line="240" w:lineRule="auto"/>
        <w:ind w:right="374" w:hanging="560"/>
        <w:rPr>
          <w:i/>
        </w:rPr>
      </w:pPr>
      <w:r>
        <w:rPr>
          <w:color w:val="1770B8"/>
        </w:rPr>
        <w:t>If</w:t>
      </w:r>
      <w:r>
        <w:rPr>
          <w:color w:val="1770B8"/>
          <w:spacing w:val="-5"/>
        </w:rPr>
        <w:t xml:space="preserve"> </w:t>
      </w:r>
      <w:r>
        <w:rPr>
          <w:color w:val="1770B8"/>
        </w:rPr>
        <w:t>necessary,</w:t>
      </w:r>
      <w:r>
        <w:rPr>
          <w:color w:val="1770B8"/>
          <w:spacing w:val="-5"/>
        </w:rPr>
        <w:t xml:space="preserve"> </w:t>
      </w:r>
      <w:r>
        <w:rPr>
          <w:color w:val="1770B8"/>
        </w:rPr>
        <w:t>based</w:t>
      </w:r>
      <w:r>
        <w:rPr>
          <w:color w:val="1770B8"/>
          <w:spacing w:val="-5"/>
        </w:rPr>
        <w:t xml:space="preserve"> </w:t>
      </w:r>
      <w:r>
        <w:rPr>
          <w:color w:val="1770B8"/>
        </w:rPr>
        <w:t>on</w:t>
      </w:r>
      <w:r>
        <w:rPr>
          <w:color w:val="1770B8"/>
          <w:spacing w:val="-5"/>
        </w:rPr>
        <w:t xml:space="preserve"> </w:t>
      </w:r>
      <w:r>
        <w:rPr>
          <w:color w:val="1770B8"/>
        </w:rPr>
        <w:t>liquidation</w:t>
      </w:r>
      <w:r>
        <w:rPr>
          <w:color w:val="1770B8"/>
          <w:spacing w:val="-5"/>
        </w:rPr>
        <w:t xml:space="preserve"> </w:t>
      </w:r>
      <w:r>
        <w:rPr>
          <w:color w:val="1770B8"/>
        </w:rPr>
        <w:t>value</w:t>
      </w:r>
      <w:r>
        <w:rPr>
          <w:color w:val="1770B8"/>
          <w:spacing w:val="-7"/>
        </w:rPr>
        <w:t xml:space="preserve"> </w:t>
      </w:r>
      <w:r>
        <w:rPr>
          <w:color w:val="1770B8"/>
        </w:rPr>
        <w:t>requirements,</w:t>
      </w:r>
      <w:r>
        <w:rPr>
          <w:color w:val="1770B8"/>
          <w:spacing w:val="-7"/>
        </w:rPr>
        <w:t xml:space="preserve"> </w:t>
      </w:r>
      <w:r>
        <w:rPr>
          <w:color w:val="1770B8"/>
        </w:rPr>
        <w:t>classes</w:t>
      </w:r>
      <w:r>
        <w:rPr>
          <w:color w:val="1770B8"/>
          <w:spacing w:val="-7"/>
        </w:rPr>
        <w:t xml:space="preserve"> </w:t>
      </w:r>
      <w:r>
        <w:rPr>
          <w:color w:val="1770B8"/>
        </w:rPr>
        <w:t>of</w:t>
      </w:r>
      <w:r>
        <w:rPr>
          <w:color w:val="1770B8"/>
          <w:spacing w:val="-5"/>
        </w:rPr>
        <w:t xml:space="preserve"> </w:t>
      </w:r>
      <w:r>
        <w:rPr>
          <w:color w:val="1770B8"/>
        </w:rPr>
        <w:t>non-priority</w:t>
      </w:r>
      <w:r>
        <w:rPr>
          <w:color w:val="1770B8"/>
          <w:spacing w:val="-5"/>
        </w:rPr>
        <w:t xml:space="preserve"> </w:t>
      </w:r>
      <w:r>
        <w:rPr>
          <w:color w:val="1770B8"/>
        </w:rPr>
        <w:t>unsecured claims will be established as follows: (</w:t>
      </w:r>
      <w:r>
        <w:rPr>
          <w:i/>
          <w:color w:val="1770B8"/>
        </w:rPr>
        <w:t>Check all that apply).</w:t>
      </w:r>
    </w:p>
    <w:p w14:paraId="53F5AECA" w14:textId="5D3DB246" w:rsidR="00575238" w:rsidRDefault="00EE3EAA">
      <w:pPr>
        <w:pStyle w:val="ListParagraph"/>
        <w:numPr>
          <w:ilvl w:val="3"/>
          <w:numId w:val="1"/>
        </w:numPr>
        <w:tabs>
          <w:tab w:val="left" w:pos="1723"/>
          <w:tab w:val="left" w:pos="6271"/>
        </w:tabs>
        <w:spacing w:line="240" w:lineRule="auto"/>
        <w:ind w:right="1177"/>
      </w:pPr>
      <w:r>
        <w:rPr>
          <w:b/>
          <w:color w:val="1770B8"/>
        </w:rPr>
        <w:t>Class</w:t>
      </w:r>
      <w:r>
        <w:rPr>
          <w:b/>
          <w:color w:val="1770B8"/>
          <w:spacing w:val="-14"/>
        </w:rPr>
        <w:t xml:space="preserve"> </w:t>
      </w:r>
      <w:r>
        <w:rPr>
          <w:b/>
          <w:color w:val="1770B8"/>
        </w:rPr>
        <w:t>A</w:t>
      </w:r>
      <w:r w:rsidR="00CC6EC1">
        <w:rPr>
          <w:b/>
          <w:color w:val="1770B8"/>
        </w:rPr>
        <w:t>/Debtor 1 Individual Claims</w:t>
      </w:r>
      <w:r>
        <w:rPr>
          <w:b/>
          <w:color w:val="1770B8"/>
          <w:spacing w:val="-16"/>
        </w:rPr>
        <w:t xml:space="preserve"> </w:t>
      </w:r>
      <w:r>
        <w:rPr>
          <w:b/>
          <w:color w:val="1770B8"/>
        </w:rPr>
        <w:t>-</w:t>
      </w:r>
      <w:r>
        <w:rPr>
          <w:b/>
          <w:color w:val="1770B8"/>
          <w:spacing w:val="-5"/>
        </w:rPr>
        <w:t xml:space="preserve"> </w:t>
      </w:r>
      <w:r>
        <w:rPr>
          <w:color w:val="1770B8"/>
        </w:rPr>
        <w:t>Allowed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unsecured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claims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of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Debtor</w:t>
      </w:r>
      <w:r>
        <w:rPr>
          <w:color w:val="1770B8"/>
          <w:spacing w:val="-5"/>
        </w:rPr>
        <w:t xml:space="preserve"> </w:t>
      </w:r>
      <w:r>
        <w:rPr>
          <w:color w:val="1770B8"/>
        </w:rPr>
        <w:t>1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with</w:t>
      </w:r>
      <w:r>
        <w:rPr>
          <w:color w:val="1770B8"/>
          <w:spacing w:val="-6"/>
        </w:rPr>
        <w:t xml:space="preserve"> </w:t>
      </w:r>
      <w:r>
        <w:rPr>
          <w:color w:val="1770B8"/>
        </w:rPr>
        <w:t>a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liquidation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value requirement of $</w:t>
      </w:r>
      <w:r>
        <w:rPr>
          <w:color w:val="1770B8"/>
          <w:u w:val="single" w:color="166FB7"/>
        </w:rPr>
        <w:tab/>
      </w:r>
      <w:r w:rsidR="00CC6EC1">
        <w:rPr>
          <w:color w:val="1770B8"/>
          <w:u w:val="single" w:color="166FB7"/>
        </w:rPr>
        <w:t>____________</w:t>
      </w:r>
      <w:r>
        <w:rPr>
          <w:color w:val="1770B8"/>
          <w:spacing w:val="-10"/>
        </w:rPr>
        <w:t>.</w:t>
      </w:r>
    </w:p>
    <w:p w14:paraId="133F626A" w14:textId="360E1474" w:rsidR="00575238" w:rsidRDefault="00EE3EAA">
      <w:pPr>
        <w:pStyle w:val="ListParagraph"/>
        <w:numPr>
          <w:ilvl w:val="3"/>
          <w:numId w:val="1"/>
        </w:numPr>
        <w:tabs>
          <w:tab w:val="left" w:pos="1723"/>
          <w:tab w:val="left" w:pos="6271"/>
        </w:tabs>
        <w:spacing w:line="240" w:lineRule="auto"/>
        <w:ind w:right="1165"/>
      </w:pPr>
      <w:r>
        <w:rPr>
          <w:b/>
          <w:color w:val="1770B8"/>
        </w:rPr>
        <w:t>Class</w:t>
      </w:r>
      <w:r>
        <w:rPr>
          <w:b/>
          <w:color w:val="1770B8"/>
          <w:spacing w:val="-3"/>
        </w:rPr>
        <w:t xml:space="preserve"> </w:t>
      </w:r>
      <w:r>
        <w:rPr>
          <w:b/>
          <w:color w:val="1770B8"/>
        </w:rPr>
        <w:t>B</w:t>
      </w:r>
      <w:r w:rsidR="00CC6EC1">
        <w:rPr>
          <w:b/>
          <w:color w:val="1770B8"/>
        </w:rPr>
        <w:t>/Debtor 2 Individual Claims</w:t>
      </w:r>
      <w:r>
        <w:rPr>
          <w:b/>
          <w:color w:val="1770B8"/>
          <w:spacing w:val="-6"/>
        </w:rPr>
        <w:t xml:space="preserve"> </w:t>
      </w:r>
      <w:r>
        <w:rPr>
          <w:b/>
          <w:color w:val="1770B8"/>
        </w:rPr>
        <w:t>-</w:t>
      </w:r>
      <w:r>
        <w:rPr>
          <w:b/>
          <w:color w:val="1770B8"/>
          <w:spacing w:val="-3"/>
        </w:rPr>
        <w:t xml:space="preserve"> </w:t>
      </w:r>
      <w:r>
        <w:rPr>
          <w:color w:val="1770B8"/>
        </w:rPr>
        <w:t>Allowed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unsecured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claims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of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Debtor</w:t>
      </w:r>
      <w:r>
        <w:rPr>
          <w:color w:val="1770B8"/>
          <w:spacing w:val="-5"/>
        </w:rPr>
        <w:t xml:space="preserve"> </w:t>
      </w:r>
      <w:r>
        <w:rPr>
          <w:color w:val="1770B8"/>
        </w:rPr>
        <w:t>2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with</w:t>
      </w:r>
      <w:r>
        <w:rPr>
          <w:color w:val="1770B8"/>
          <w:spacing w:val="-6"/>
        </w:rPr>
        <w:t xml:space="preserve"> </w:t>
      </w:r>
      <w:r>
        <w:rPr>
          <w:color w:val="1770B8"/>
        </w:rPr>
        <w:t>a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liquidation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value requirement of $</w:t>
      </w:r>
      <w:r>
        <w:rPr>
          <w:color w:val="1770B8"/>
          <w:u w:val="single" w:color="166FB7"/>
        </w:rPr>
        <w:tab/>
      </w:r>
      <w:r w:rsidR="00CC6EC1">
        <w:rPr>
          <w:color w:val="1770B8"/>
          <w:u w:val="single" w:color="166FB7"/>
        </w:rPr>
        <w:t>____________</w:t>
      </w:r>
      <w:r>
        <w:rPr>
          <w:color w:val="1770B8"/>
          <w:spacing w:val="-10"/>
        </w:rPr>
        <w:t>.</w:t>
      </w:r>
    </w:p>
    <w:p w14:paraId="01AF269F" w14:textId="7B04C895" w:rsidR="00575238" w:rsidRDefault="00EE3EAA">
      <w:pPr>
        <w:pStyle w:val="ListParagraph"/>
        <w:numPr>
          <w:ilvl w:val="3"/>
          <w:numId w:val="1"/>
        </w:numPr>
        <w:tabs>
          <w:tab w:val="left" w:pos="1723"/>
          <w:tab w:val="left" w:pos="7484"/>
        </w:tabs>
        <w:spacing w:line="240" w:lineRule="auto"/>
        <w:ind w:right="1029"/>
      </w:pPr>
      <w:r>
        <w:rPr>
          <w:b/>
          <w:color w:val="1770B8"/>
        </w:rPr>
        <w:t>Class</w:t>
      </w:r>
      <w:r>
        <w:rPr>
          <w:b/>
          <w:color w:val="1770B8"/>
          <w:spacing w:val="-2"/>
        </w:rPr>
        <w:t xml:space="preserve"> </w:t>
      </w:r>
      <w:r>
        <w:rPr>
          <w:b/>
          <w:color w:val="1770B8"/>
        </w:rPr>
        <w:t>C</w:t>
      </w:r>
      <w:r w:rsidR="00CC6EC1">
        <w:rPr>
          <w:b/>
          <w:color w:val="1770B8"/>
        </w:rPr>
        <w:t>/Joint Claims</w:t>
      </w:r>
      <w:r>
        <w:rPr>
          <w:b/>
          <w:color w:val="1770B8"/>
          <w:spacing w:val="-6"/>
        </w:rPr>
        <w:t xml:space="preserve"> </w:t>
      </w:r>
      <w:r>
        <w:rPr>
          <w:b/>
          <w:color w:val="1770B8"/>
        </w:rPr>
        <w:t>-</w:t>
      </w:r>
      <w:r>
        <w:rPr>
          <w:b/>
          <w:color w:val="1770B8"/>
          <w:spacing w:val="-1"/>
        </w:rPr>
        <w:t xml:space="preserve"> </w:t>
      </w:r>
      <w:r>
        <w:rPr>
          <w:color w:val="1770B8"/>
        </w:rPr>
        <w:t>Allowed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joint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unsecured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claims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of</w:t>
      </w:r>
      <w:r>
        <w:rPr>
          <w:color w:val="1770B8"/>
          <w:spacing w:val="-1"/>
        </w:rPr>
        <w:t xml:space="preserve"> </w:t>
      </w:r>
      <w:r>
        <w:rPr>
          <w:color w:val="1770B8"/>
        </w:rPr>
        <w:t>Debtor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1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and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Debtor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2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with</w:t>
      </w:r>
      <w:r>
        <w:rPr>
          <w:color w:val="1770B8"/>
          <w:spacing w:val="-5"/>
        </w:rPr>
        <w:t xml:space="preserve"> </w:t>
      </w:r>
      <w:r>
        <w:rPr>
          <w:color w:val="1770B8"/>
        </w:rPr>
        <w:t>a liquidation value requirement of $</w:t>
      </w:r>
      <w:r>
        <w:rPr>
          <w:color w:val="1770B8"/>
          <w:u w:val="single" w:color="166FB7"/>
        </w:rPr>
        <w:tab/>
      </w:r>
      <w:r>
        <w:rPr>
          <w:color w:val="1770B8"/>
          <w:spacing w:val="-10"/>
        </w:rPr>
        <w:t>.</w:t>
      </w:r>
    </w:p>
    <w:p w14:paraId="37695863" w14:textId="77777777" w:rsidR="00575238" w:rsidRDefault="00EE3EAA">
      <w:pPr>
        <w:pStyle w:val="ListParagraph"/>
        <w:numPr>
          <w:ilvl w:val="2"/>
          <w:numId w:val="1"/>
        </w:numPr>
        <w:tabs>
          <w:tab w:val="left" w:pos="1247"/>
        </w:tabs>
        <w:spacing w:line="240" w:lineRule="auto"/>
        <w:ind w:right="187" w:hanging="560"/>
        <w:rPr>
          <w:i/>
        </w:rPr>
      </w:pPr>
      <w:r>
        <w:rPr>
          <w:color w:val="1770B8"/>
        </w:rPr>
        <w:t>If required due to liquidation test requirements, interest will be paid to holders of all allowed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non-priority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unsecured</w:t>
      </w:r>
      <w:r>
        <w:rPr>
          <w:color w:val="1770B8"/>
          <w:spacing w:val="-5"/>
        </w:rPr>
        <w:t xml:space="preserve"> </w:t>
      </w:r>
      <w:r>
        <w:rPr>
          <w:color w:val="1770B8"/>
        </w:rPr>
        <w:t>claims,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or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to</w:t>
      </w:r>
      <w:r>
        <w:rPr>
          <w:color w:val="1770B8"/>
          <w:spacing w:val="-6"/>
        </w:rPr>
        <w:t xml:space="preserve"> </w:t>
      </w:r>
      <w:r>
        <w:rPr>
          <w:color w:val="1770B8"/>
        </w:rPr>
        <w:t>holders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of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allowed</w:t>
      </w:r>
      <w:r>
        <w:rPr>
          <w:color w:val="1770B8"/>
          <w:spacing w:val="-5"/>
        </w:rPr>
        <w:t xml:space="preserve"> </w:t>
      </w:r>
      <w:r>
        <w:rPr>
          <w:color w:val="1770B8"/>
        </w:rPr>
        <w:t>general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unsecured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 xml:space="preserve">claims in the class(es) indicated below: </w:t>
      </w:r>
      <w:r>
        <w:rPr>
          <w:i/>
          <w:color w:val="1770B8"/>
        </w:rPr>
        <w:t>(Check all that apply).</w:t>
      </w:r>
    </w:p>
    <w:p w14:paraId="5F709167" w14:textId="77777777" w:rsidR="00575238" w:rsidRDefault="00EE3EAA">
      <w:pPr>
        <w:pStyle w:val="ListParagraph"/>
        <w:numPr>
          <w:ilvl w:val="3"/>
          <w:numId w:val="1"/>
        </w:numPr>
        <w:tabs>
          <w:tab w:val="left" w:pos="1722"/>
        </w:tabs>
        <w:ind w:left="1722" w:hanging="475"/>
      </w:pPr>
      <w:r>
        <w:rPr>
          <w:b/>
          <w:color w:val="1770B8"/>
        </w:rPr>
        <w:t>None.</w:t>
      </w:r>
      <w:r>
        <w:rPr>
          <w:b/>
          <w:color w:val="1770B8"/>
          <w:spacing w:val="47"/>
        </w:rPr>
        <w:t xml:space="preserve"> </w:t>
      </w:r>
      <w:r>
        <w:rPr>
          <w:color w:val="1770B8"/>
        </w:rPr>
        <w:t>No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interest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is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required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to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be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paid</w:t>
      </w:r>
      <w:r>
        <w:rPr>
          <w:color w:val="1770B8"/>
          <w:spacing w:val="-5"/>
        </w:rPr>
        <w:t xml:space="preserve"> </w:t>
      </w:r>
      <w:r>
        <w:rPr>
          <w:color w:val="1770B8"/>
        </w:rPr>
        <w:t>to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holders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of</w:t>
      </w:r>
      <w:r>
        <w:rPr>
          <w:color w:val="1770B8"/>
          <w:spacing w:val="-5"/>
        </w:rPr>
        <w:t xml:space="preserve"> </w:t>
      </w:r>
      <w:r>
        <w:rPr>
          <w:color w:val="1770B8"/>
        </w:rPr>
        <w:t>unsecured</w:t>
      </w:r>
      <w:r>
        <w:rPr>
          <w:color w:val="1770B8"/>
          <w:spacing w:val="-4"/>
        </w:rPr>
        <w:t xml:space="preserve"> </w:t>
      </w:r>
      <w:r>
        <w:rPr>
          <w:color w:val="1770B8"/>
          <w:spacing w:val="-2"/>
        </w:rPr>
        <w:t>claims.</w:t>
      </w:r>
    </w:p>
    <w:p w14:paraId="7C86F92D" w14:textId="77777777" w:rsidR="00575238" w:rsidRDefault="00EE3EAA">
      <w:pPr>
        <w:pStyle w:val="ListParagraph"/>
        <w:numPr>
          <w:ilvl w:val="3"/>
          <w:numId w:val="1"/>
        </w:numPr>
        <w:tabs>
          <w:tab w:val="left" w:pos="1722"/>
        </w:tabs>
        <w:spacing w:line="240" w:lineRule="auto"/>
        <w:ind w:left="1722" w:right="689"/>
      </w:pPr>
      <w:r>
        <w:rPr>
          <w:color w:val="1770B8"/>
        </w:rPr>
        <w:t>Interest,</w:t>
      </w:r>
      <w:r>
        <w:rPr>
          <w:color w:val="1770B8"/>
          <w:spacing w:val="-6"/>
        </w:rPr>
        <w:t xml:space="preserve"> </w:t>
      </w:r>
      <w:r>
        <w:rPr>
          <w:color w:val="1770B8"/>
        </w:rPr>
        <w:t>at</w:t>
      </w:r>
      <w:r>
        <w:rPr>
          <w:color w:val="1770B8"/>
          <w:spacing w:val="-6"/>
        </w:rPr>
        <w:t xml:space="preserve"> </w:t>
      </w:r>
      <w:r>
        <w:rPr>
          <w:color w:val="1770B8"/>
        </w:rPr>
        <w:t>the</w:t>
      </w:r>
      <w:r>
        <w:rPr>
          <w:color w:val="1770B8"/>
          <w:spacing w:val="-6"/>
        </w:rPr>
        <w:t xml:space="preserve"> </w:t>
      </w:r>
      <w:r>
        <w:rPr>
          <w:color w:val="1770B8"/>
        </w:rPr>
        <w:t>rate</w:t>
      </w:r>
      <w:r>
        <w:rPr>
          <w:color w:val="1770B8"/>
          <w:spacing w:val="-6"/>
        </w:rPr>
        <w:t xml:space="preserve"> </w:t>
      </w:r>
      <w:r>
        <w:rPr>
          <w:color w:val="1770B8"/>
        </w:rPr>
        <w:t>indicated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below,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will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be</w:t>
      </w:r>
      <w:r>
        <w:rPr>
          <w:color w:val="1770B8"/>
          <w:spacing w:val="-6"/>
        </w:rPr>
        <w:t xml:space="preserve"> </w:t>
      </w:r>
      <w:r>
        <w:rPr>
          <w:color w:val="1770B8"/>
        </w:rPr>
        <w:t>paid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on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allowed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general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unsecured claims, as follows:</w:t>
      </w:r>
    </w:p>
    <w:p w14:paraId="61122E9A" w14:textId="77777777" w:rsidR="00575238" w:rsidRDefault="00EE3EAA">
      <w:pPr>
        <w:pStyle w:val="ListParagraph"/>
        <w:numPr>
          <w:ilvl w:val="4"/>
          <w:numId w:val="1"/>
        </w:numPr>
        <w:tabs>
          <w:tab w:val="left" w:pos="2262"/>
        </w:tabs>
      </w:pPr>
      <w:r>
        <w:rPr>
          <w:color w:val="1770B8"/>
        </w:rPr>
        <w:t>All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allowed</w:t>
      </w:r>
      <w:r>
        <w:rPr>
          <w:color w:val="1770B8"/>
          <w:spacing w:val="-5"/>
        </w:rPr>
        <w:t xml:space="preserve"> </w:t>
      </w:r>
      <w:r>
        <w:rPr>
          <w:color w:val="1770B8"/>
        </w:rPr>
        <w:t>general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unsecured</w:t>
      </w:r>
      <w:r>
        <w:rPr>
          <w:color w:val="1770B8"/>
          <w:spacing w:val="-4"/>
        </w:rPr>
        <w:t xml:space="preserve"> </w:t>
      </w:r>
      <w:r>
        <w:rPr>
          <w:color w:val="1770B8"/>
          <w:spacing w:val="-2"/>
        </w:rPr>
        <w:t>claims.</w:t>
      </w:r>
    </w:p>
    <w:p w14:paraId="1192C282" w14:textId="77777777" w:rsidR="00575238" w:rsidRDefault="00EE3EAA">
      <w:pPr>
        <w:pStyle w:val="ListParagraph"/>
        <w:numPr>
          <w:ilvl w:val="4"/>
          <w:numId w:val="1"/>
        </w:numPr>
        <w:tabs>
          <w:tab w:val="left" w:pos="2262"/>
          <w:tab w:val="left" w:pos="9006"/>
        </w:tabs>
      </w:pPr>
      <w:r>
        <w:rPr>
          <w:color w:val="1770B8"/>
        </w:rPr>
        <w:t>Allowed</w:t>
      </w:r>
      <w:r>
        <w:rPr>
          <w:color w:val="1770B8"/>
          <w:spacing w:val="-6"/>
        </w:rPr>
        <w:t xml:space="preserve"> </w:t>
      </w:r>
      <w:r>
        <w:rPr>
          <w:color w:val="1770B8"/>
        </w:rPr>
        <w:t>general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unsecured</w:t>
      </w:r>
      <w:r>
        <w:rPr>
          <w:color w:val="1770B8"/>
          <w:spacing w:val="-6"/>
        </w:rPr>
        <w:t xml:space="preserve"> </w:t>
      </w:r>
      <w:r>
        <w:rPr>
          <w:color w:val="1770B8"/>
        </w:rPr>
        <w:t>claims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in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the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following</w:t>
      </w:r>
      <w:r>
        <w:rPr>
          <w:color w:val="1770B8"/>
          <w:spacing w:val="-3"/>
        </w:rPr>
        <w:t xml:space="preserve"> </w:t>
      </w:r>
      <w:r>
        <w:rPr>
          <w:color w:val="1770B8"/>
          <w:spacing w:val="-2"/>
        </w:rPr>
        <w:t>Class(es):</w:t>
      </w:r>
      <w:r>
        <w:rPr>
          <w:color w:val="1770B8"/>
          <w:u w:val="single" w:color="166FB7"/>
        </w:rPr>
        <w:tab/>
      </w:r>
    </w:p>
    <w:p w14:paraId="463CB2AB" w14:textId="77777777" w:rsidR="00575238" w:rsidRDefault="00EE3EAA">
      <w:pPr>
        <w:pStyle w:val="ListParagraph"/>
        <w:numPr>
          <w:ilvl w:val="2"/>
          <w:numId w:val="1"/>
        </w:numPr>
        <w:tabs>
          <w:tab w:val="left" w:pos="1247"/>
        </w:tabs>
        <w:spacing w:line="240" w:lineRule="auto"/>
        <w:ind w:right="101" w:hanging="560"/>
      </w:pPr>
      <w:r>
        <w:rPr>
          <w:color w:val="1770B8"/>
        </w:rPr>
        <w:t>The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rate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of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interest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(if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any)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to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be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paid</w:t>
      </w:r>
      <w:r>
        <w:rPr>
          <w:color w:val="1770B8"/>
          <w:spacing w:val="-5"/>
        </w:rPr>
        <w:t xml:space="preserve"> </w:t>
      </w:r>
      <w:r>
        <w:rPr>
          <w:color w:val="1770B8"/>
        </w:rPr>
        <w:t>to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holders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of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allowed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general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unsecured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claims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 xml:space="preserve">shall </w:t>
      </w:r>
      <w:r>
        <w:rPr>
          <w:color w:val="1770B8"/>
          <w:spacing w:val="-4"/>
        </w:rPr>
        <w:t>be:</w:t>
      </w:r>
    </w:p>
    <w:p w14:paraId="219F21DD" w14:textId="77777777" w:rsidR="00575238" w:rsidRDefault="00EE3EAA">
      <w:pPr>
        <w:pStyle w:val="ListParagraph"/>
        <w:numPr>
          <w:ilvl w:val="3"/>
          <w:numId w:val="1"/>
        </w:numPr>
        <w:tabs>
          <w:tab w:val="left" w:pos="1722"/>
          <w:tab w:val="left" w:pos="2387"/>
        </w:tabs>
        <w:spacing w:line="240" w:lineRule="auto"/>
        <w:ind w:left="1722" w:hanging="475"/>
      </w:pPr>
      <w:r>
        <w:rPr>
          <w:color w:val="1770B8"/>
          <w:u w:val="single" w:color="166FB7"/>
        </w:rPr>
        <w:tab/>
      </w:r>
      <w:r>
        <w:rPr>
          <w:color w:val="1770B8"/>
        </w:rPr>
        <w:t xml:space="preserve"> % per annum.</w:t>
      </w:r>
    </w:p>
    <w:p w14:paraId="70E2E9A8" w14:textId="77777777" w:rsidR="00575238" w:rsidRDefault="00EE3EAA">
      <w:pPr>
        <w:pStyle w:val="ListParagraph"/>
        <w:numPr>
          <w:ilvl w:val="3"/>
          <w:numId w:val="1"/>
        </w:numPr>
        <w:tabs>
          <w:tab w:val="left" w:pos="1722"/>
        </w:tabs>
        <w:spacing w:before="1"/>
        <w:ind w:left="1722" w:hanging="475"/>
      </w:pPr>
      <w:r>
        <w:rPr>
          <w:color w:val="1770B8"/>
        </w:rPr>
        <w:t>the</w:t>
      </w:r>
      <w:r>
        <w:rPr>
          <w:color w:val="1770B8"/>
          <w:spacing w:val="-7"/>
        </w:rPr>
        <w:t xml:space="preserve"> </w:t>
      </w:r>
      <w:r>
        <w:rPr>
          <w:color w:val="1770B8"/>
        </w:rPr>
        <w:t>federal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judgment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rate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effective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as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of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the</w:t>
      </w:r>
      <w:r>
        <w:rPr>
          <w:color w:val="1770B8"/>
          <w:spacing w:val="-3"/>
        </w:rPr>
        <w:t xml:space="preserve"> </w:t>
      </w:r>
      <w:r>
        <w:rPr>
          <w:color w:val="1770B8"/>
        </w:rPr>
        <w:t>date</w:t>
      </w:r>
      <w:r>
        <w:rPr>
          <w:color w:val="1770B8"/>
          <w:spacing w:val="-2"/>
        </w:rPr>
        <w:t xml:space="preserve"> </w:t>
      </w:r>
      <w:r>
        <w:rPr>
          <w:color w:val="1770B8"/>
        </w:rPr>
        <w:t>of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the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filing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of</w:t>
      </w:r>
      <w:r>
        <w:rPr>
          <w:color w:val="1770B8"/>
          <w:spacing w:val="-4"/>
        </w:rPr>
        <w:t xml:space="preserve"> </w:t>
      </w:r>
      <w:r>
        <w:rPr>
          <w:color w:val="1770B8"/>
        </w:rPr>
        <w:t>the</w:t>
      </w:r>
      <w:r>
        <w:rPr>
          <w:color w:val="1770B8"/>
          <w:spacing w:val="-2"/>
        </w:rPr>
        <w:t xml:space="preserve"> Petition.</w:t>
      </w:r>
    </w:p>
    <w:p w14:paraId="4C2AD215" w14:textId="77777777" w:rsidR="00575238" w:rsidRDefault="00EE3EAA">
      <w:pPr>
        <w:pStyle w:val="ListParagraph"/>
        <w:numPr>
          <w:ilvl w:val="3"/>
          <w:numId w:val="1"/>
        </w:numPr>
        <w:tabs>
          <w:tab w:val="left" w:pos="1722"/>
        </w:tabs>
        <w:ind w:left="1722" w:hanging="475"/>
        <w:rPr>
          <w:i/>
        </w:rPr>
      </w:pPr>
      <w:r>
        <w:rPr>
          <w:color w:val="1770B8"/>
        </w:rPr>
        <w:t>Other:</w:t>
      </w:r>
      <w:r>
        <w:rPr>
          <w:color w:val="1770B8"/>
          <w:spacing w:val="52"/>
        </w:rPr>
        <w:t xml:space="preserve"> </w:t>
      </w:r>
      <w:r>
        <w:rPr>
          <w:i/>
          <w:color w:val="1770B8"/>
          <w:spacing w:val="-2"/>
        </w:rPr>
        <w:t>(Explain):</w:t>
      </w:r>
    </w:p>
    <w:p w14:paraId="21CA59CE" w14:textId="77777777" w:rsidR="00575238" w:rsidRDefault="00EE3EAA">
      <w:pPr>
        <w:tabs>
          <w:tab w:val="left" w:pos="7993"/>
        </w:tabs>
        <w:spacing w:before="2"/>
        <w:ind w:left="1722"/>
        <w:rPr>
          <w:i/>
        </w:rPr>
      </w:pPr>
      <w:r>
        <w:rPr>
          <w:i/>
          <w:color w:val="1770B8"/>
          <w:u w:val="single" w:color="166FB7"/>
        </w:rPr>
        <w:tab/>
      </w:r>
      <w:r>
        <w:rPr>
          <w:i/>
          <w:color w:val="1770B8"/>
          <w:spacing w:val="-10"/>
        </w:rPr>
        <w:t>.</w:t>
      </w:r>
    </w:p>
    <w:sectPr w:rsidR="00575238">
      <w:type w:val="continuous"/>
      <w:pgSz w:w="12240" w:h="15840"/>
      <w:pgMar w:top="1360" w:right="148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C66ACC"/>
    <w:multiLevelType w:val="multilevel"/>
    <w:tmpl w:val="F6FE3810"/>
    <w:lvl w:ilvl="0">
      <w:start w:val="2"/>
      <w:numFmt w:val="decimal"/>
      <w:lvlText w:val="%1"/>
      <w:lvlJc w:val="left"/>
      <w:pPr>
        <w:ind w:left="732" w:hanging="625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32" w:hanging="625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247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70B8"/>
        <w:spacing w:val="0"/>
        <w:w w:val="100"/>
        <w:sz w:val="22"/>
        <w:szCs w:val="22"/>
        <w:lang w:val="en-US" w:eastAsia="en-US" w:bidi="ar-SA"/>
      </w:rPr>
    </w:lvl>
    <w:lvl w:ilvl="3">
      <w:numFmt w:val="bullet"/>
      <w:lvlText w:val="□"/>
      <w:lvlJc w:val="left"/>
      <w:pPr>
        <w:ind w:left="1723" w:hanging="476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70B8"/>
        <w:spacing w:val="0"/>
        <w:w w:val="100"/>
        <w:sz w:val="22"/>
        <w:szCs w:val="22"/>
        <w:lang w:val="en-US" w:eastAsia="en-US" w:bidi="ar-SA"/>
      </w:rPr>
    </w:lvl>
    <w:lvl w:ilvl="4">
      <w:numFmt w:val="bullet"/>
      <w:lvlText w:val="□"/>
      <w:lvlJc w:val="left"/>
      <w:pPr>
        <w:ind w:left="2262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770B8"/>
        <w:spacing w:val="0"/>
        <w:w w:val="100"/>
        <w:sz w:val="22"/>
        <w:szCs w:val="22"/>
        <w:lang w:val="en-US" w:eastAsia="en-US" w:bidi="ar-SA"/>
      </w:rPr>
    </w:lvl>
    <w:lvl w:ilvl="5">
      <w:numFmt w:val="bullet"/>
      <w:lvlText w:val="•"/>
      <w:lvlJc w:val="left"/>
      <w:pPr>
        <w:ind w:left="4277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85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94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02" w:hanging="540"/>
      </w:pPr>
      <w:rPr>
        <w:rFonts w:hint="default"/>
        <w:lang w:val="en-US" w:eastAsia="en-US" w:bidi="ar-SA"/>
      </w:rPr>
    </w:lvl>
  </w:abstractNum>
  <w:num w:numId="1" w16cid:durableId="815561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5238"/>
    <w:rsid w:val="00291261"/>
    <w:rsid w:val="003E2F74"/>
    <w:rsid w:val="00575238"/>
    <w:rsid w:val="00BC62F7"/>
    <w:rsid w:val="00CC6EC1"/>
    <w:rsid w:val="00EE3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40042"/>
  <w15:docId w15:val="{A00638AC-1167-4327-8166-D61C9FFE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52" w:lineRule="exact"/>
      <w:ind w:left="36" w:hanging="624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7"/>
    </w:pPr>
  </w:style>
  <w:style w:type="paragraph" w:styleId="ListParagraph">
    <w:name w:val="List Paragraph"/>
    <w:basedOn w:val="Normal"/>
    <w:uiPriority w:val="1"/>
    <w:qFormat/>
    <w:pPr>
      <w:spacing w:line="252" w:lineRule="exact"/>
      <w:ind w:left="1247" w:hanging="476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E3E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E3E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E3EA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3E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3EAA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2272</Characters>
  <Application>Microsoft Office Word</Application>
  <DocSecurity>4</DocSecurity>
  <Lines>18</Lines>
  <Paragraphs>5</Paragraphs>
  <ScaleCrop>false</ScaleCrop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Bench Book December 2 2024.pdf</dc:title>
  <dc:creator>Stephanie Butler</dc:creator>
  <cp:lastModifiedBy>Stephanie Butler</cp:lastModifiedBy>
  <cp:revision>2</cp:revision>
  <dcterms:created xsi:type="dcterms:W3CDTF">2025-02-03T15:09:00Z</dcterms:created>
  <dcterms:modified xsi:type="dcterms:W3CDTF">2025-02-03T15:09:00Z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Adobe Acrobat Pro (32-bit) 24.4.20272</vt:lpwstr>
  </property>
  <property fmtid="{D5CDD505-2E9C-101B-9397-08002B2CF9AE}" pid="4" name="LastSaved">
    <vt:filetime>2025-01-28T00:00:00Z</vt:filetime>
  </property>
  <property fmtid="{D5CDD505-2E9C-101B-9397-08002B2CF9AE}" pid="5" name="Producer">
    <vt:lpwstr>Acrobat Distiller 24.0 (Windows)</vt:lpwstr>
  </property>
</Properties>
</file>